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2AEFA" w14:textId="3D3F7B0A" w:rsidR="008A7551" w:rsidRPr="0072303B" w:rsidRDefault="008A7551" w:rsidP="008A7551">
      <w:pPr>
        <w:rPr>
          <w:rFonts w:asciiTheme="minorHAnsi" w:hAnsiTheme="minorHAnsi"/>
          <w:b/>
          <w:i/>
          <w:szCs w:val="22"/>
        </w:rPr>
      </w:pPr>
    </w:p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1"/>
        <w:gridCol w:w="1848"/>
        <w:gridCol w:w="4892"/>
        <w:gridCol w:w="1056"/>
        <w:gridCol w:w="1677"/>
        <w:gridCol w:w="1214"/>
        <w:gridCol w:w="1279"/>
        <w:gridCol w:w="1574"/>
      </w:tblGrid>
      <w:tr w:rsidR="00774E93" w:rsidRPr="00A42D69" w14:paraId="68D42F68" w14:textId="77777777" w:rsidTr="008718D1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54D775EF" w14:textId="77777777" w:rsidR="00774E93" w:rsidRPr="00A42D69" w:rsidRDefault="00774E93" w:rsidP="008718D1">
            <w:pPr>
              <w:pStyle w:val="Odsekzoznamu"/>
              <w:spacing w:before="120" w:after="120"/>
              <w:ind w:left="34"/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</w:pPr>
            <w:r w:rsidRPr="00A42D69">
              <w:rPr>
                <w:rFonts w:asciiTheme="minorHAnsi" w:hAnsiTheme="minorHAnsi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774E93" w:rsidRPr="00A42D69" w14:paraId="3E74900F" w14:textId="77777777" w:rsidTr="00774E9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F2BA3F7" w14:textId="77777777" w:rsidR="00774E93" w:rsidRPr="00C63419" w:rsidRDefault="00774E93" w:rsidP="008718D1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Špecifický cieľ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383E05E2" w14:textId="77777777" w:rsidR="00774E93" w:rsidRPr="00264E75" w:rsidRDefault="00D95492" w:rsidP="008718D1">
            <w:pPr>
              <w:spacing w:before="120" w:after="120"/>
              <w:jc w:val="both"/>
              <w:rPr>
                <w:rFonts w:asciiTheme="minorHAnsi" w:hAnsiTheme="minorHAnsi"/>
                <w:sz w:val="20"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Výber špecifického cieľa IROP"/>
                <w:tag w:val="ŠC IROP"/>
                <w:id w:val="1322309434"/>
                <w:placeholder>
                  <w:docPart w:val="4EA876BD3A2A46B59ECE65F1AF694FF6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774E93">
                  <w:rPr>
                    <w:rFonts w:asciiTheme="minorHAnsi" w:hAnsiTheme="minorHAnsi"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72303B" w:rsidRPr="00A42D69" w14:paraId="7D64F391" w14:textId="77777777" w:rsidTr="00774E9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8C76AF0" w14:textId="77777777" w:rsidR="0072303B" w:rsidRPr="00C63419" w:rsidRDefault="0072303B" w:rsidP="0072303B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MAS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355E4AB6" w14:textId="2872CA0F" w:rsidR="0072303B" w:rsidRPr="00A42D69" w:rsidRDefault="0072303B" w:rsidP="0072303B">
            <w:pPr>
              <w:spacing w:before="120" w:after="120"/>
              <w:jc w:val="both"/>
              <w:rPr>
                <w:rFonts w:asciiTheme="minorHAnsi" w:hAnsiTheme="minorHAnsi"/>
                <w:szCs w:val="22"/>
              </w:rPr>
            </w:pPr>
            <w:r w:rsidRPr="00BD11B1">
              <w:rPr>
                <w:rFonts w:asciiTheme="minorHAnsi" w:hAnsiTheme="minorHAnsi"/>
                <w:szCs w:val="22"/>
              </w:rPr>
              <w:t xml:space="preserve">Združenie obcí </w:t>
            </w:r>
            <w:proofErr w:type="spellStart"/>
            <w:r w:rsidRPr="00BD11B1">
              <w:rPr>
                <w:rFonts w:asciiTheme="minorHAnsi" w:hAnsiTheme="minorHAnsi"/>
                <w:szCs w:val="22"/>
              </w:rPr>
              <w:t>Bielokarpatsko</w:t>
            </w:r>
            <w:proofErr w:type="spellEnd"/>
            <w:r w:rsidRPr="00BD11B1">
              <w:rPr>
                <w:rFonts w:asciiTheme="minorHAnsi" w:hAnsiTheme="minorHAnsi"/>
                <w:szCs w:val="22"/>
              </w:rPr>
              <w:t xml:space="preserve"> - trenčianskeho mikroregiónu a Mikroregiónu </w:t>
            </w:r>
            <w:proofErr w:type="spellStart"/>
            <w:r w:rsidRPr="00BD11B1">
              <w:rPr>
                <w:rFonts w:asciiTheme="minorHAnsi" w:hAnsiTheme="minorHAnsi"/>
                <w:szCs w:val="22"/>
              </w:rPr>
              <w:t>Bošáčka</w:t>
            </w:r>
            <w:proofErr w:type="spellEnd"/>
          </w:p>
        </w:tc>
      </w:tr>
      <w:tr w:rsidR="0072303B" w:rsidRPr="00A42D69" w14:paraId="52664632" w14:textId="77777777" w:rsidTr="00774E9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4E0FE82" w14:textId="77777777" w:rsidR="0072303B" w:rsidRPr="00C63419" w:rsidRDefault="0072303B" w:rsidP="0072303B">
            <w:pPr>
              <w:spacing w:before="120" w:after="120"/>
              <w:rPr>
                <w:rFonts w:asciiTheme="minorHAnsi" w:hAnsiTheme="minorHAnsi"/>
                <w:b/>
                <w:szCs w:val="22"/>
              </w:rPr>
            </w:pPr>
            <w:r w:rsidRPr="00C63419">
              <w:rPr>
                <w:rFonts w:asciiTheme="minorHAnsi" w:hAnsiTheme="minorHAnsi"/>
                <w:b/>
                <w:szCs w:val="22"/>
              </w:rPr>
              <w:t>Hlavná aktivita projektu</w: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begin"/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</w:r>
            <w:r w:rsidRPr="00C63419">
              <w:rPr>
                <w:rFonts w:asciiTheme="minorHAnsi" w:hAnsiTheme="minorHAnsi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66908C61" w14:textId="22770F19" w:rsidR="0072303B" w:rsidRPr="00A42D69" w:rsidRDefault="00D95492" w:rsidP="0072303B">
            <w:pPr>
              <w:spacing w:before="120" w:after="120"/>
              <w:jc w:val="both"/>
              <w:rPr>
                <w:rFonts w:asciiTheme="minorHAnsi" w:hAnsiTheme="minorHAnsi"/>
                <w:b/>
                <w:szCs w:val="22"/>
              </w:rPr>
            </w:pPr>
            <w:sdt>
              <w:sdtPr>
                <w:rPr>
                  <w:rFonts w:asciiTheme="minorHAnsi" w:hAnsiTheme="minorHAnsi" w:cs="Arial"/>
                  <w:sz w:val="20"/>
                </w:rPr>
                <w:alias w:val="Hlavné aktivity"/>
                <w:tag w:val="Hlavné aktivity"/>
                <w:id w:val="653266841"/>
                <w:placeholder>
                  <w:docPart w:val="5970D5B5BEF04AEEBA5183CC99114089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72303B">
                  <w:rPr>
                    <w:rFonts w:asciiTheme="minorHAnsi" w:hAnsiTheme="minorHAnsi" w:cs="Arial"/>
                    <w:sz w:val="20"/>
                  </w:rPr>
                  <w:t>D2 Skvalitnenie a rozšírenie kapacít predškolských zariadení</w:t>
                </w:r>
              </w:sdtContent>
            </w:sdt>
          </w:p>
        </w:tc>
      </w:tr>
      <w:tr w:rsidR="0072303B" w:rsidRPr="00A42D69" w14:paraId="5B4C7AA3" w14:textId="77777777" w:rsidTr="00774E93">
        <w:tc>
          <w:tcPr>
            <w:tcW w:w="1311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89FC7A7" w14:textId="77777777" w:rsidR="0072303B" w:rsidRPr="00A42D69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Kód ukazovateľa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4BB2330" w14:textId="77777777" w:rsidR="0072303B" w:rsidRPr="00A42D69" w:rsidRDefault="0072303B" w:rsidP="0072303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Názov </w:t>
            </w:r>
          </w:p>
          <w:p w14:paraId="7A41DA40" w14:textId="77777777" w:rsidR="0072303B" w:rsidRPr="00A42D69" w:rsidRDefault="0072303B" w:rsidP="0072303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ukazovateľa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5EC615" w14:textId="77777777" w:rsidR="0072303B" w:rsidRPr="00A42D69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Definícia/metóda výpočtu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DE1DEC9" w14:textId="77777777" w:rsidR="0072303B" w:rsidRPr="00A42D69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Merná jednotka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D2C7F9D" w14:textId="77777777" w:rsidR="0072303B" w:rsidRPr="00A42D69" w:rsidRDefault="0072303B" w:rsidP="0072303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Čas </w:t>
            </w:r>
          </w:p>
          <w:p w14:paraId="1F288586" w14:textId="77777777" w:rsidR="0072303B" w:rsidRPr="00A42D69" w:rsidRDefault="0072303B" w:rsidP="0072303B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plnenia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0973733" w14:textId="77777777" w:rsidR="0072303B" w:rsidRPr="00A42D69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>Príznak rizika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2"/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42D9157" w14:textId="77777777" w:rsidR="0072303B" w:rsidRPr="00A42D69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 w:rsidRPr="00A42D69">
              <w:rPr>
                <w:rFonts w:asciiTheme="minorHAnsi" w:hAnsiTheme="minorHAnsi"/>
                <w:szCs w:val="22"/>
              </w:rPr>
              <w:t xml:space="preserve">Relevancia </w:t>
            </w:r>
            <w:r w:rsidRPr="00A42D69">
              <w:rPr>
                <w:rFonts w:asciiTheme="minorHAnsi" w:hAnsiTheme="minorHAnsi"/>
                <w:szCs w:val="22"/>
              </w:rPr>
              <w:br/>
              <w:t>k HP</w:t>
            </w:r>
            <w:r>
              <w:rPr>
                <w:rFonts w:asciiTheme="minorHAnsi" w:hAnsiTheme="minorHAnsi"/>
                <w:szCs w:val="22"/>
              </w:rPr>
              <w:t xml:space="preserve"> (UR, </w:t>
            </w:r>
            <w:proofErr w:type="spellStart"/>
            <w:r>
              <w:rPr>
                <w:rFonts w:asciiTheme="minorHAnsi" w:hAnsiTheme="minorHAnsi"/>
                <w:szCs w:val="22"/>
              </w:rPr>
              <w:t>RMŽaND</w:t>
            </w:r>
            <w:proofErr w:type="spellEnd"/>
            <w:r>
              <w:rPr>
                <w:rFonts w:asciiTheme="minorHAnsi" w:hAnsiTheme="minorHAnsi"/>
                <w:szCs w:val="22"/>
              </w:rPr>
              <w:t>. N/A)</w:t>
            </w:r>
            <w:r>
              <w:rPr>
                <w:rStyle w:val="Odkaznapoznmkupodiarou"/>
                <w:rFonts w:asciiTheme="minorHAnsi" w:hAnsiTheme="minorHAnsi"/>
                <w:szCs w:val="22"/>
              </w:rPr>
              <w:footnoteReference w:id="3"/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32DB384" w14:textId="77777777" w:rsidR="0072303B" w:rsidRPr="00A42D69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Povinný ukazovateľ</w:t>
            </w:r>
          </w:p>
        </w:tc>
      </w:tr>
      <w:tr w:rsidR="0072303B" w:rsidRPr="009365C4" w14:paraId="09DA42F3" w14:textId="77777777" w:rsidTr="00774E93">
        <w:trPr>
          <w:trHeight w:val="548"/>
        </w:trPr>
        <w:tc>
          <w:tcPr>
            <w:tcW w:w="131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099516" w14:textId="014A6A98" w:rsidR="0072303B" w:rsidRPr="009365C4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D201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A9269D" w14:textId="3FFC616C" w:rsidR="0072303B" w:rsidRPr="009365C4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materských škôl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3B22A9" w14:textId="46EF25A2" w:rsidR="0072303B" w:rsidRPr="009365C4" w:rsidRDefault="0072303B" w:rsidP="0072303B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 MŠ dostávajúcich podporu z CLLD. Podpora musí byť v súlade s nadefinovanými princípmi výberu operácii.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AD8E21" w14:textId="30AFC8E2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324E92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FD14ED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18926D" w14:textId="76C8BF76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B640A2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áno</w:t>
            </w:r>
          </w:p>
        </w:tc>
      </w:tr>
      <w:tr w:rsidR="0072303B" w:rsidRPr="009365C4" w14:paraId="20AA6A3D" w14:textId="77777777" w:rsidTr="00774E9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15470B51" w14:textId="5D969EF3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848" w:type="dxa"/>
            <w:shd w:val="clear" w:color="auto" w:fill="FFFFFF" w:themeFill="background1"/>
          </w:tcPr>
          <w:p w14:paraId="6189EE40" w14:textId="578D17B5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materských škôl materiálno-technickým vybavením</w:t>
            </w:r>
          </w:p>
        </w:tc>
        <w:tc>
          <w:tcPr>
            <w:tcW w:w="4892" w:type="dxa"/>
            <w:shd w:val="clear" w:color="auto" w:fill="FFFFFF" w:themeFill="background1"/>
          </w:tcPr>
          <w:p w14:paraId="03860690" w14:textId="72B9E956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Ukazovateľ vyjadruje počet materských škôl, ktorým bolo projektom zabezpečené interiérové materiálno-technické vybavenie. Metóda výpočtu: jedna materská škola (1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774E93">
              <w:rPr>
                <w:rFonts w:asciiTheme="minorHAnsi" w:hAnsiTheme="minorHAnsi"/>
                <w:sz w:val="20"/>
              </w:rPr>
              <w:t>projekt) = jedno obstaranie materiálno- technického vybavenia (bez ohľadu na počet budov materskej školy)</w:t>
            </w:r>
          </w:p>
        </w:tc>
        <w:tc>
          <w:tcPr>
            <w:tcW w:w="1056" w:type="dxa"/>
            <w:shd w:val="clear" w:color="auto" w:fill="FFFFFF" w:themeFill="background1"/>
          </w:tcPr>
          <w:p w14:paraId="47B678B6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3E41B303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797D4C35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56E19074" w14:textId="0E661179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266F8E14" w14:textId="0632AF7D" w:rsidR="0072303B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áno - v prípade podpory prostredníctvom materiálno-technického vybavenia</w:t>
            </w:r>
          </w:p>
        </w:tc>
      </w:tr>
      <w:tr w:rsidR="0072303B" w:rsidRPr="009365C4" w14:paraId="55E8B21B" w14:textId="77777777" w:rsidTr="00774E9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44BA58E3" w14:textId="032532A7" w:rsidR="0072303B" w:rsidRPr="008F43B6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848" w:type="dxa"/>
            <w:shd w:val="clear" w:color="auto" w:fill="FFFFFF" w:themeFill="background1"/>
          </w:tcPr>
          <w:p w14:paraId="3BF0D52E" w14:textId="26D041D5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areálov MŠ</w:t>
            </w:r>
          </w:p>
        </w:tc>
        <w:tc>
          <w:tcPr>
            <w:tcW w:w="4892" w:type="dxa"/>
            <w:shd w:val="clear" w:color="auto" w:fill="FFFFFF" w:themeFill="background1"/>
          </w:tcPr>
          <w:p w14:paraId="212F21F3" w14:textId="1BCC6CC8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areálov materskej školy vrátane stavebno-technických úprav rôzneho druhu (napr. detské ihriská, športové zariadenia, záhrady)</w:t>
            </w:r>
          </w:p>
        </w:tc>
        <w:tc>
          <w:tcPr>
            <w:tcW w:w="1056" w:type="dxa"/>
            <w:shd w:val="clear" w:color="auto" w:fill="FFFFFF" w:themeFill="background1"/>
          </w:tcPr>
          <w:p w14:paraId="283631C2" w14:textId="3149B88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421FA815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538007D7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71B9B79E" w14:textId="7CB90F51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7CC6138B" w14:textId="4627BE77" w:rsidR="0072303B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áno - v prípade podpory budovania areálov MŠ</w:t>
            </w:r>
          </w:p>
        </w:tc>
      </w:tr>
      <w:tr w:rsidR="0072303B" w:rsidRPr="009365C4" w14:paraId="1F7E3262" w14:textId="77777777" w:rsidTr="00774E9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5B05A454" w14:textId="553401FC" w:rsidR="0072303B" w:rsidRPr="008F43B6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lastRenderedPageBreak/>
              <w:t>D20</w:t>
            </w:r>
            <w:r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1848" w:type="dxa"/>
            <w:shd w:val="clear" w:color="auto" w:fill="FFFFFF" w:themeFill="background1"/>
          </w:tcPr>
          <w:p w14:paraId="027E0149" w14:textId="741FC482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Kapacita podporenej školskej infraštruktúry materských škôl</w:t>
            </w:r>
          </w:p>
        </w:tc>
        <w:tc>
          <w:tcPr>
            <w:tcW w:w="4892" w:type="dxa"/>
            <w:shd w:val="clear" w:color="auto" w:fill="FFFFFF" w:themeFill="background1"/>
          </w:tcPr>
          <w:p w14:paraId="37040E09" w14:textId="0C6D6FDA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Počet užívateľov, ktorí môžu používať nové alebo zlepšené zariadenia materských škôl. "Užívatelia" v</w:t>
            </w:r>
            <w:r>
              <w:rPr>
                <w:rFonts w:asciiTheme="minorHAnsi" w:hAnsiTheme="minorHAnsi"/>
                <w:sz w:val="20"/>
              </w:rPr>
              <w:t> </w:t>
            </w:r>
            <w:r w:rsidRPr="00774E93">
              <w:rPr>
                <w:rFonts w:asciiTheme="minorHAnsi" w:hAnsiTheme="minorHAnsi"/>
                <w:sz w:val="20"/>
              </w:rPr>
              <w:t>tomto kontexte sú deti, nie učitelia, rodičia alebo iné osoby, ktoré môžu používať príslušné zariadenia. Ukazovateľ zahŕňa nové alebo zlepšené budovy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  <w:r w:rsidRPr="00774E93">
              <w:rPr>
                <w:rFonts w:asciiTheme="minorHAnsi" w:hAnsiTheme="minorHAnsi"/>
                <w:sz w:val="20"/>
              </w:rPr>
              <w:t>poskytnuté projektom. Meria nominálnu kapacitu (</w:t>
            </w:r>
            <w:proofErr w:type="spellStart"/>
            <w:r w:rsidRPr="00774E93">
              <w:rPr>
                <w:rFonts w:asciiTheme="minorHAnsi" w:hAnsiTheme="minorHAnsi"/>
                <w:sz w:val="20"/>
              </w:rPr>
              <w:t>t.j</w:t>
            </w:r>
            <w:proofErr w:type="spellEnd"/>
            <w:r w:rsidRPr="00774E93">
              <w:rPr>
                <w:rFonts w:asciiTheme="minorHAnsi" w:hAnsiTheme="minorHAnsi"/>
                <w:sz w:val="20"/>
              </w:rPr>
              <w:t>. počet možných užívateľov, ktorý je zvyčajne vyšší alebo sa rovná počtu skutočných užívateľov). Ukazovateľ sa vypočíta ako súčet počtu "užívateľov" podporenej vzdelávacej infraštruktúry v dôsledku realizácie projektov.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319B31CF" w14:textId="284AA26C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Dieťa</w:t>
            </w:r>
          </w:p>
        </w:tc>
        <w:tc>
          <w:tcPr>
            <w:tcW w:w="1677" w:type="dxa"/>
            <w:shd w:val="clear" w:color="auto" w:fill="FFFFFF" w:themeFill="background1"/>
          </w:tcPr>
          <w:p w14:paraId="29D2A812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11867429" w14:textId="77777777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6E231685" w14:textId="628D97C0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5323CD0C" w14:textId="47D70341" w:rsidR="0072303B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áno</w:t>
            </w:r>
          </w:p>
        </w:tc>
      </w:tr>
      <w:tr w:rsidR="0072303B" w:rsidRPr="009365C4" w14:paraId="6C0FF2B0" w14:textId="77777777" w:rsidTr="00774E9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475F9817" w14:textId="45B2029E" w:rsidR="0072303B" w:rsidRPr="008F43B6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5</w:t>
            </w:r>
          </w:p>
        </w:tc>
        <w:tc>
          <w:tcPr>
            <w:tcW w:w="1848" w:type="dxa"/>
            <w:shd w:val="clear" w:color="auto" w:fill="FFFFFF" w:themeFill="background1"/>
          </w:tcPr>
          <w:p w14:paraId="395A96ED" w14:textId="28D5AB21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Zvýšená kapacita podporenej školskej infraštruktúry materských škôl</w:t>
            </w:r>
          </w:p>
        </w:tc>
        <w:tc>
          <w:tcPr>
            <w:tcW w:w="4892" w:type="dxa"/>
            <w:shd w:val="clear" w:color="auto" w:fill="FFFFFF" w:themeFill="background1"/>
          </w:tcPr>
          <w:p w14:paraId="635CE381" w14:textId="40664C40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 xml:space="preserve">Zvýšená celková kapacita materskej školy, </w:t>
            </w:r>
            <w:proofErr w:type="spellStart"/>
            <w:r w:rsidRPr="00774E93">
              <w:rPr>
                <w:rFonts w:asciiTheme="minorHAnsi" w:hAnsiTheme="minorHAnsi"/>
                <w:sz w:val="20"/>
              </w:rPr>
              <w:t>t.j</w:t>
            </w:r>
            <w:proofErr w:type="spellEnd"/>
            <w:r w:rsidRPr="00774E93">
              <w:rPr>
                <w:rFonts w:asciiTheme="minorHAnsi" w:hAnsiTheme="minorHAnsi"/>
                <w:sz w:val="20"/>
              </w:rPr>
              <w:t>. rozdiel kapacity zariadenia pred realizáciou projektu a po realizácii projektu. Kapacita predstavuje nominálnu kapacitu (</w:t>
            </w:r>
            <w:proofErr w:type="spellStart"/>
            <w:r w:rsidRPr="00774E93">
              <w:rPr>
                <w:rFonts w:asciiTheme="minorHAnsi" w:hAnsiTheme="minorHAnsi"/>
                <w:sz w:val="20"/>
              </w:rPr>
              <w:t>t.j</w:t>
            </w:r>
            <w:proofErr w:type="spellEnd"/>
            <w:r w:rsidRPr="00774E93">
              <w:rPr>
                <w:rFonts w:asciiTheme="minorHAnsi" w:hAnsiTheme="minorHAnsi"/>
                <w:sz w:val="20"/>
              </w:rPr>
              <w:t>. počet možných detí, ktoré môžu využívať materskú školu - "počet lôžok").</w:t>
            </w:r>
          </w:p>
        </w:tc>
        <w:tc>
          <w:tcPr>
            <w:tcW w:w="1056" w:type="dxa"/>
            <w:shd w:val="clear" w:color="auto" w:fill="FFFFFF" w:themeFill="background1"/>
          </w:tcPr>
          <w:p w14:paraId="7D90AACB" w14:textId="5D282CF4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Dieťa</w:t>
            </w:r>
          </w:p>
        </w:tc>
        <w:tc>
          <w:tcPr>
            <w:tcW w:w="1677" w:type="dxa"/>
            <w:shd w:val="clear" w:color="auto" w:fill="FFFFFF" w:themeFill="background1"/>
          </w:tcPr>
          <w:p w14:paraId="31F53345" w14:textId="2C615BEA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k dátumu ukončenia prác na projekte</w:t>
            </w:r>
          </w:p>
        </w:tc>
        <w:tc>
          <w:tcPr>
            <w:tcW w:w="1214" w:type="dxa"/>
            <w:shd w:val="clear" w:color="auto" w:fill="FFFFFF" w:themeFill="background1"/>
          </w:tcPr>
          <w:p w14:paraId="26BCABEB" w14:textId="2E0FE984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2F1C25A6" w14:textId="6D038E5E" w:rsidR="0072303B" w:rsidRPr="008C0112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65DD0B86" w14:textId="1AAA5D1D" w:rsidR="0072303B" w:rsidRDefault="0072303B" w:rsidP="0072303B">
            <w:pPr>
              <w:autoSpaceDE w:val="0"/>
              <w:autoSpaceDN w:val="0"/>
              <w:adjustRightInd w:val="0"/>
              <w:spacing w:before="120" w:after="120"/>
              <w:rPr>
                <w:rFonts w:asciiTheme="minorHAnsi" w:hAnsiTheme="minorHAnsi"/>
                <w:sz w:val="20"/>
              </w:rPr>
            </w:pPr>
            <w:r w:rsidRPr="00774E93">
              <w:rPr>
                <w:rFonts w:asciiTheme="minorHAnsi" w:hAnsiTheme="minorHAnsi"/>
                <w:sz w:val="20"/>
              </w:rPr>
              <w:t>áno v prípade, ak projekt vedie k zvýšeniu kapacity materských škôl</w:t>
            </w:r>
          </w:p>
        </w:tc>
      </w:tr>
    </w:tbl>
    <w:p w14:paraId="3ADE3011" w14:textId="77777777" w:rsidR="00774E93" w:rsidRDefault="00774E93" w:rsidP="00774E93">
      <w:pPr>
        <w:ind w:left="-426"/>
        <w:jc w:val="both"/>
        <w:rPr>
          <w:rFonts w:asciiTheme="minorHAnsi" w:hAnsiTheme="minorHAnsi"/>
          <w:i/>
          <w:highlight w:val="yellow"/>
        </w:rPr>
      </w:pPr>
    </w:p>
    <w:p w14:paraId="52C530DB" w14:textId="1F072C53" w:rsidR="002E59BB" w:rsidRDefault="002E59BB" w:rsidP="002E59BB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Žiadateľ je</w:t>
      </w:r>
      <w:r w:rsidRPr="00A42D69">
        <w:rPr>
          <w:rFonts w:asciiTheme="minorHAnsi" w:hAnsiTheme="minorHAnsi"/>
        </w:rPr>
        <w:t xml:space="preserve"> povinný stanoviť „nenulovú“ cieľovú hodnotu pre tie merateľné ukazovatele projektu, ktoré majú byť realizáciou navrhovaných aktivít dosiahnuté</w:t>
      </w:r>
      <w:r>
        <w:rPr>
          <w:rFonts w:asciiTheme="minorHAnsi" w:hAnsiTheme="minorHAnsi"/>
        </w:rPr>
        <w:t xml:space="preserve">. Žiadateľ je povinný stanoviť „nenulovú“ cieľovú hodnotu pre povinné merateľné ukazovatele, </w:t>
      </w:r>
      <w:proofErr w:type="spellStart"/>
      <w:r>
        <w:rPr>
          <w:rFonts w:asciiTheme="minorHAnsi" w:hAnsiTheme="minorHAnsi"/>
        </w:rPr>
        <w:t>t.j</w:t>
      </w:r>
      <w:proofErr w:type="spellEnd"/>
      <w:r>
        <w:rPr>
          <w:rFonts w:asciiTheme="minorHAnsi" w:hAnsiTheme="minorHAnsi"/>
        </w:rPr>
        <w:t>. ukazovatele označené ako „áno“ bez d</w:t>
      </w:r>
      <w:r w:rsidR="00317FC0">
        <w:rPr>
          <w:rFonts w:asciiTheme="minorHAnsi" w:hAnsiTheme="minorHAnsi"/>
        </w:rPr>
        <w:t>ô</w:t>
      </w:r>
      <w:r>
        <w:rPr>
          <w:rFonts w:asciiTheme="minorHAnsi" w:hAnsiTheme="minorHAnsi"/>
        </w:rPr>
        <w:t>vetku.</w:t>
      </w:r>
    </w:p>
    <w:p w14:paraId="71F014A7" w14:textId="77777777" w:rsidR="002E59BB" w:rsidRPr="00A42D69" w:rsidRDefault="002E59BB" w:rsidP="002E59BB">
      <w:pPr>
        <w:ind w:left="-426" w:right="-312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Projekt bez príspevku k naplneniu povinných merateľných ukazovateľov nebude schválený.</w:t>
      </w:r>
    </w:p>
    <w:p w14:paraId="2255355E" w14:textId="77777777" w:rsidR="002E59BB" w:rsidRPr="001A6EA1" w:rsidRDefault="002E59BB" w:rsidP="002E59BB">
      <w:pPr>
        <w:ind w:left="-426" w:right="-312"/>
        <w:jc w:val="both"/>
        <w:rPr>
          <w:rFonts w:asciiTheme="minorHAnsi" w:hAnsiTheme="minorHAnsi"/>
        </w:rPr>
      </w:pPr>
    </w:p>
    <w:p w14:paraId="64A631C7" w14:textId="6FF34CC8" w:rsidR="00774E93" w:rsidRPr="0072303B" w:rsidRDefault="002E59BB" w:rsidP="0072303B">
      <w:pPr>
        <w:ind w:left="-426" w:right="-312"/>
        <w:jc w:val="both"/>
        <w:rPr>
          <w:rFonts w:asciiTheme="minorHAnsi" w:hAnsiTheme="minorHAnsi"/>
        </w:rPr>
      </w:pPr>
      <w:r w:rsidRPr="001A6EA1">
        <w:rPr>
          <w:rFonts w:asciiTheme="minorHAnsi" w:hAnsiTheme="minorHAnsi"/>
          <w:b/>
        </w:rPr>
        <w:t>Upozornenie:</w:t>
      </w:r>
      <w:r w:rsidRPr="001A6EA1">
        <w:rPr>
          <w:rFonts w:asciiTheme="minorHAnsi" w:hAnsiTheme="minorHAnsi"/>
        </w:rPr>
        <w:t xml:space="preserve"> V súvislosti so stanovením cieľových hodnôt merateľných ukazovateľov (z pohľadu ich reálnosti) si dovoľujeme upozorniť na sankčný mechanizmus definovaný v</w:t>
      </w:r>
      <w:r>
        <w:rPr>
          <w:rFonts w:asciiTheme="minorHAnsi" w:hAnsiTheme="minorHAnsi"/>
        </w:rPr>
        <w:t xml:space="preserve"> zmluve o príspevku </w:t>
      </w:r>
      <w:r w:rsidRPr="001A6EA1">
        <w:rPr>
          <w:rFonts w:asciiTheme="minorHAnsi" w:hAnsiTheme="minorHAnsi"/>
        </w:rPr>
        <w:t>vo vzťahu k miere skutočného plnenia cieľových hodnôt merateľných ukazovateľov.</w:t>
      </w:r>
      <w:r>
        <w:rPr>
          <w:rFonts w:asciiTheme="minorHAnsi" w:hAnsiTheme="minorHAnsi"/>
        </w:rPr>
        <w:t xml:space="preserve"> V prípade odchýlky, ktor</w:t>
      </w:r>
      <w:r w:rsidR="00DD5DD8">
        <w:rPr>
          <w:rFonts w:asciiTheme="minorHAnsi" w:hAnsiTheme="minorHAnsi"/>
        </w:rPr>
        <w:t>á</w:t>
      </w:r>
      <w:r>
        <w:rPr>
          <w:rFonts w:asciiTheme="minorHAnsi" w:hAnsiTheme="minorHAnsi"/>
        </w:rPr>
        <w:t xml:space="preserve"> nebude v zmysle pravidiel sankčného mechanizmu akceptovateľná (či už z dôvodu výšky odchýlky, alebo objektívnych dôvodov príčin jej vzniku)</w:t>
      </w:r>
      <w:r w:rsidR="00C70BD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bude výška príspevku skrátená v zodpovedajúcej výške.</w:t>
      </w:r>
    </w:p>
    <w:p w14:paraId="56D09D9F" w14:textId="5E92B21C" w:rsidR="00774E93" w:rsidRDefault="00774E93" w:rsidP="00774E93">
      <w:pPr>
        <w:rPr>
          <w:rFonts w:asciiTheme="minorHAnsi" w:hAnsiTheme="minorHAnsi"/>
          <w:i/>
          <w:highlight w:val="yellow"/>
        </w:rPr>
      </w:pPr>
    </w:p>
    <w:sectPr w:rsidR="00774E93" w:rsidSect="005E6B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A9E7C" w14:textId="77777777" w:rsidR="00D95492" w:rsidRDefault="00D95492">
      <w:r>
        <w:separator/>
      </w:r>
    </w:p>
  </w:endnote>
  <w:endnote w:type="continuationSeparator" w:id="0">
    <w:p w14:paraId="0C2CAB5B" w14:textId="77777777" w:rsidR="00D95492" w:rsidRDefault="00D95492">
      <w:r>
        <w:continuationSeparator/>
      </w:r>
    </w:p>
  </w:endnote>
  <w:endnote w:type="continuationNotice" w:id="1">
    <w:p w14:paraId="7D5CFCB1" w14:textId="77777777" w:rsidR="00D95492" w:rsidRDefault="00D954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A347E" w14:textId="77777777" w:rsidR="0072303B" w:rsidRDefault="0072303B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BE9D1" w14:textId="77777777" w:rsidR="0072303B" w:rsidRDefault="0072303B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E8704" w14:textId="77777777" w:rsidR="0072303B" w:rsidRDefault="0072303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D894B" w14:textId="77777777" w:rsidR="00D95492" w:rsidRDefault="00D95492">
      <w:r>
        <w:separator/>
      </w:r>
    </w:p>
  </w:footnote>
  <w:footnote w:type="continuationSeparator" w:id="0">
    <w:p w14:paraId="45EE7FB9" w14:textId="77777777" w:rsidR="00D95492" w:rsidRDefault="00D95492">
      <w:r>
        <w:continuationSeparator/>
      </w:r>
    </w:p>
  </w:footnote>
  <w:footnote w:type="continuationNotice" w:id="1">
    <w:p w14:paraId="3B01C346" w14:textId="77777777" w:rsidR="00D95492" w:rsidRDefault="00D95492"/>
  </w:footnote>
  <w:footnote w:id="2">
    <w:p w14:paraId="3B433353" w14:textId="04497297" w:rsidR="0072303B" w:rsidRPr="001A6EA1" w:rsidRDefault="0072303B" w:rsidP="00125428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  <w:t>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1C14BC04" w14:textId="77777777" w:rsidR="0072303B" w:rsidRPr="001A6EA1" w:rsidRDefault="0072303B" w:rsidP="00125428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2FFEA" w14:textId="77777777" w:rsidR="0072303B" w:rsidRDefault="0072303B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2C54D" w14:textId="77777777" w:rsidR="0072303B" w:rsidRDefault="0072303B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A8E54" w14:textId="77777777" w:rsidR="0072303B" w:rsidRPr="001F013A" w:rsidRDefault="0072303B" w:rsidP="0072303B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 wp14:anchorId="5BC2DF3E" wp14:editId="5DFB263D">
          <wp:simplePos x="0" y="0"/>
          <wp:positionH relativeFrom="column">
            <wp:posOffset>567690</wp:posOffset>
          </wp:positionH>
          <wp:positionV relativeFrom="paragraph">
            <wp:posOffset>-234950</wp:posOffset>
          </wp:positionV>
          <wp:extent cx="628650" cy="627345"/>
          <wp:effectExtent l="0" t="0" r="0" b="1905"/>
          <wp:wrapNone/>
          <wp:docPr id="33" name="Obrázok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650" cy="627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06F6CE67" wp14:editId="4558E989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4" name="Obrázok 34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9264" behindDoc="1" locked="0" layoutInCell="1" allowOverlap="1" wp14:anchorId="7F03F55F" wp14:editId="55E93E16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60288" behindDoc="1" locked="0" layoutInCell="1" allowOverlap="1" wp14:anchorId="6FFFC681" wp14:editId="426F2E03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D8CEB40" w14:textId="784E59A6" w:rsidR="00C32A49" w:rsidRDefault="00C32A49" w:rsidP="005E6B6E">
    <w:pPr>
      <w:pStyle w:val="Hlavika"/>
    </w:pPr>
  </w:p>
  <w:p w14:paraId="70D23428" w14:textId="4B27D04D" w:rsidR="0072303B" w:rsidRDefault="0072303B" w:rsidP="005E6B6E">
    <w:pPr>
      <w:pStyle w:val="Hlavika"/>
    </w:pPr>
  </w:p>
  <w:p w14:paraId="29277D41" w14:textId="77777777" w:rsidR="0072303B" w:rsidRPr="00730D1A" w:rsidRDefault="0072303B" w:rsidP="0072303B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  <w:p w14:paraId="516EF7DB" w14:textId="77777777" w:rsidR="0072303B" w:rsidRPr="005E6B6E" w:rsidRDefault="0072303B" w:rsidP="005E6B6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>
    <w:abstractNumId w:val="27"/>
  </w:num>
  <w:num w:numId="2">
    <w:abstractNumId w:val="18"/>
  </w:num>
  <w:num w:numId="3">
    <w:abstractNumId w:val="38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9"/>
  </w:num>
  <w:num w:numId="9">
    <w:abstractNumId w:val="8"/>
  </w:num>
  <w:num w:numId="10">
    <w:abstractNumId w:val="15"/>
  </w:num>
  <w:num w:numId="11">
    <w:abstractNumId w:val="30"/>
  </w:num>
  <w:num w:numId="12">
    <w:abstractNumId w:val="25"/>
  </w:num>
  <w:num w:numId="13">
    <w:abstractNumId w:val="20"/>
  </w:num>
  <w:num w:numId="14">
    <w:abstractNumId w:val="10"/>
  </w:num>
  <w:num w:numId="15">
    <w:abstractNumId w:val="26"/>
  </w:num>
  <w:num w:numId="16">
    <w:abstractNumId w:val="23"/>
  </w:num>
  <w:num w:numId="17">
    <w:abstractNumId w:val="4"/>
  </w:num>
  <w:num w:numId="18">
    <w:abstractNumId w:val="24"/>
  </w:num>
  <w:num w:numId="19">
    <w:abstractNumId w:val="12"/>
  </w:num>
  <w:num w:numId="20">
    <w:abstractNumId w:val="29"/>
  </w:num>
  <w:num w:numId="21">
    <w:abstractNumId w:val="22"/>
  </w:num>
  <w:num w:numId="22">
    <w:abstractNumId w:val="16"/>
  </w:num>
  <w:num w:numId="23">
    <w:abstractNumId w:val="35"/>
  </w:num>
  <w:num w:numId="24">
    <w:abstractNumId w:val="11"/>
  </w:num>
  <w:num w:numId="25">
    <w:abstractNumId w:val="19"/>
  </w:num>
  <w:num w:numId="26">
    <w:abstractNumId w:val="2"/>
  </w:num>
  <w:num w:numId="27">
    <w:abstractNumId w:val="33"/>
  </w:num>
  <w:num w:numId="28">
    <w:abstractNumId w:val="36"/>
  </w:num>
  <w:num w:numId="29">
    <w:abstractNumId w:val="32"/>
  </w:num>
  <w:num w:numId="30">
    <w:abstractNumId w:val="34"/>
  </w:num>
  <w:num w:numId="31">
    <w:abstractNumId w:val="31"/>
  </w:num>
  <w:num w:numId="32">
    <w:abstractNumId w:val="14"/>
  </w:num>
  <w:num w:numId="33">
    <w:abstractNumId w:val="5"/>
  </w:num>
  <w:num w:numId="34">
    <w:abstractNumId w:val="37"/>
  </w:num>
  <w:num w:numId="35">
    <w:abstractNumId w:val="7"/>
  </w:num>
  <w:num w:numId="36">
    <w:abstractNumId w:val="21"/>
  </w:num>
  <w:num w:numId="37">
    <w:abstractNumId w:val="13"/>
  </w:num>
  <w:num w:numId="38">
    <w:abstractNumId w:val="28"/>
  </w:num>
  <w:num w:numId="39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128"/>
    <w:rsid w:val="00215A87"/>
    <w:rsid w:val="002161F1"/>
    <w:rsid w:val="002170FE"/>
    <w:rsid w:val="00217D29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D2F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44B0"/>
    <w:rsid w:val="00474BAA"/>
    <w:rsid w:val="0047704E"/>
    <w:rsid w:val="0048005A"/>
    <w:rsid w:val="00481798"/>
    <w:rsid w:val="00482F0E"/>
    <w:rsid w:val="00484332"/>
    <w:rsid w:val="00484427"/>
    <w:rsid w:val="00485970"/>
    <w:rsid w:val="004874EB"/>
    <w:rsid w:val="00487569"/>
    <w:rsid w:val="004904F7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303B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6C"/>
    <w:rsid w:val="00813FA7"/>
    <w:rsid w:val="008144FA"/>
    <w:rsid w:val="00814A91"/>
    <w:rsid w:val="00814E9A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62FE"/>
    <w:rsid w:val="0084746A"/>
    <w:rsid w:val="008514FE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5492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23A4"/>
    <w:rsid w:val="00E85777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EA876BD3A2A46B59ECE65F1AF694FF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0374CC0-C6CD-4734-876A-43CCBB53302C}"/>
      </w:docPartPr>
      <w:docPartBody>
        <w:p w:rsidR="00E22C87" w:rsidRDefault="00D44CE6" w:rsidP="00D44CE6">
          <w:pPr>
            <w:pStyle w:val="4EA876BD3A2A46B59ECE65F1AF694FF6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970D5B5BEF04AEEBA5183CC9911408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56DEA2A-2230-4A16-9B5C-B7F2236BA433}"/>
      </w:docPartPr>
      <w:docPartBody>
        <w:p w:rsidR="00E464A1" w:rsidRDefault="007B5166" w:rsidP="007B5166">
          <w:pPr>
            <w:pStyle w:val="5970D5B5BEF04AEEBA5183CC99114089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A08B8"/>
    <w:rsid w:val="000D0DF6"/>
    <w:rsid w:val="006472F3"/>
    <w:rsid w:val="006B31D6"/>
    <w:rsid w:val="006B5A84"/>
    <w:rsid w:val="006E2383"/>
    <w:rsid w:val="007B5166"/>
    <w:rsid w:val="00A74980"/>
    <w:rsid w:val="00A93480"/>
    <w:rsid w:val="00B62629"/>
    <w:rsid w:val="00C31B9D"/>
    <w:rsid w:val="00C40C5F"/>
    <w:rsid w:val="00CA2517"/>
    <w:rsid w:val="00CF55EF"/>
    <w:rsid w:val="00D44CE6"/>
    <w:rsid w:val="00DB3628"/>
    <w:rsid w:val="00DB5CB4"/>
    <w:rsid w:val="00E22C87"/>
    <w:rsid w:val="00E464A1"/>
    <w:rsid w:val="00F5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7B5166"/>
    <w:rPr>
      <w:color w:val="808080"/>
    </w:rPr>
  </w:style>
  <w:style w:type="paragraph" w:customStyle="1" w:styleId="5970D5B5BEF04AEEBA5183CC99114089">
    <w:name w:val="5970D5B5BEF04AEEBA5183CC99114089"/>
    <w:rsid w:val="007B5166"/>
  </w:style>
  <w:style w:type="paragraph" w:customStyle="1" w:styleId="4EA876BD3A2A46B59ECE65F1AF694FF6">
    <w:name w:val="4EA876BD3A2A46B59ECE65F1AF694FF6"/>
    <w:rsid w:val="00D44C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2021-05-02T10:07:00Z</dcterms:created>
  <dcterms:modified xsi:type="dcterms:W3CDTF">2021-07-16T19:30:00Z</dcterms:modified>
</cp:coreProperties>
</file>